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EBD" w:rsidRDefault="003F7317">
      <w:pPr>
        <w:pStyle w:val="Tijeloteksta"/>
        <w:spacing w:before="4"/>
        <w:rPr>
          <w:sz w:val="22"/>
        </w:rPr>
      </w:pPr>
      <w:r>
        <w:rPr>
          <w:sz w:val="22"/>
        </w:rPr>
        <w:t>OSNOVNA ŠKOLA VLAIDMIRA NAZORA NOVA BUKOVICA</w:t>
      </w:r>
    </w:p>
    <w:p w:rsidR="003F7317" w:rsidRDefault="003F7317">
      <w:pPr>
        <w:pStyle w:val="Tijeloteksta"/>
        <w:spacing w:before="4"/>
        <w:rPr>
          <w:sz w:val="22"/>
        </w:rPr>
      </w:pPr>
      <w:r>
        <w:rPr>
          <w:sz w:val="22"/>
        </w:rPr>
        <w:t>ZAGREBAČKA 28</w:t>
      </w:r>
    </w:p>
    <w:p w:rsidR="003F7317" w:rsidRDefault="003F7317">
      <w:pPr>
        <w:pStyle w:val="Tijeloteksta"/>
        <w:spacing w:before="4"/>
        <w:rPr>
          <w:sz w:val="22"/>
        </w:rPr>
      </w:pPr>
      <w:r>
        <w:rPr>
          <w:sz w:val="22"/>
        </w:rPr>
        <w:t>33518 NOVA BUKOVICA</w:t>
      </w:r>
    </w:p>
    <w:p w:rsidR="003F7317" w:rsidRPr="005F130C" w:rsidRDefault="005F130C" w:rsidP="003F7317">
      <w:pPr>
        <w:pStyle w:val="Tijeloteksta"/>
        <w:spacing w:line="254" w:lineRule="auto"/>
        <w:ind w:right="10896"/>
        <w:rPr>
          <w:rFonts w:ascii="Calibri"/>
          <w:color w:val="000000" w:themeColor="text1"/>
        </w:rPr>
      </w:pPr>
      <w:bookmarkStart w:id="0" w:name="_GoBack"/>
      <w:r w:rsidRPr="005F130C">
        <w:rPr>
          <w:rFonts w:ascii="Calibri"/>
          <w:color w:val="000000" w:themeColor="text1"/>
        </w:rPr>
        <w:t>KLASA: 003-05/20-01/03</w:t>
      </w:r>
    </w:p>
    <w:p w:rsidR="00683EBD" w:rsidRPr="005F130C" w:rsidRDefault="000A44F3" w:rsidP="003F7317">
      <w:pPr>
        <w:pStyle w:val="Tijeloteksta"/>
        <w:spacing w:line="254" w:lineRule="auto"/>
        <w:ind w:right="10896"/>
        <w:rPr>
          <w:rFonts w:ascii="Calibri"/>
          <w:color w:val="000000" w:themeColor="text1"/>
        </w:rPr>
      </w:pPr>
      <w:r w:rsidRPr="005F130C">
        <w:rPr>
          <w:rFonts w:ascii="Calibri"/>
          <w:color w:val="000000" w:themeColor="text1"/>
        </w:rPr>
        <w:t>URBROJ:</w:t>
      </w:r>
      <w:r w:rsidRPr="005F130C">
        <w:rPr>
          <w:rFonts w:ascii="Calibri"/>
          <w:color w:val="000000" w:themeColor="text1"/>
          <w:spacing w:val="-18"/>
        </w:rPr>
        <w:t xml:space="preserve"> </w:t>
      </w:r>
      <w:r w:rsidR="005F130C" w:rsidRPr="005F130C">
        <w:rPr>
          <w:rFonts w:ascii="Calibri"/>
          <w:color w:val="000000" w:themeColor="text1"/>
        </w:rPr>
        <w:t>2189-25-01-20</w:t>
      </w:r>
      <w:r w:rsidRPr="005F130C">
        <w:rPr>
          <w:rFonts w:ascii="Calibri"/>
          <w:color w:val="000000" w:themeColor="text1"/>
        </w:rPr>
        <w:t>-01</w:t>
      </w:r>
    </w:p>
    <w:p w:rsidR="00683EBD" w:rsidRPr="005F130C" w:rsidRDefault="003F7317">
      <w:pPr>
        <w:pStyle w:val="Tijeloteksta"/>
        <w:spacing w:before="2"/>
        <w:rPr>
          <w:rFonts w:ascii="Calibri"/>
          <w:color w:val="000000" w:themeColor="text1"/>
          <w:sz w:val="25"/>
        </w:rPr>
      </w:pPr>
      <w:r w:rsidRPr="005F130C">
        <w:rPr>
          <w:rFonts w:ascii="Calibri" w:hAnsi="Calibri"/>
          <w:color w:val="000000" w:themeColor="text1"/>
        </w:rPr>
        <w:t>Nova Bukovica,23. listopada 202</w:t>
      </w:r>
    </w:p>
    <w:p w:rsidR="00683EBD" w:rsidRPr="005F130C" w:rsidRDefault="000A44F3">
      <w:pPr>
        <w:pStyle w:val="Tijeloteksta"/>
        <w:spacing w:line="254" w:lineRule="auto"/>
        <w:ind w:left="116" w:right="229" w:firstLine="708"/>
        <w:rPr>
          <w:rFonts w:ascii="Calibri" w:hAnsi="Calibri"/>
          <w:color w:val="000000" w:themeColor="text1"/>
        </w:rPr>
      </w:pPr>
      <w:r w:rsidRPr="005F130C">
        <w:rPr>
          <w:rFonts w:ascii="Calibri" w:hAnsi="Calibri"/>
          <w:color w:val="000000" w:themeColor="text1"/>
        </w:rPr>
        <w:t xml:space="preserve">Temeljem članka 34. Zakona o fiskalnoj odgovornosti (Narodne novine broj 111/18.), članka 7. Uredbe o sastavljanju i predaje Izjave o fiskalnoj odgovornosti (Narodne </w:t>
      </w:r>
      <w:r w:rsidR="003F7317" w:rsidRPr="005F130C">
        <w:rPr>
          <w:rFonts w:ascii="Calibri" w:hAnsi="Calibri"/>
          <w:color w:val="000000" w:themeColor="text1"/>
        </w:rPr>
        <w:t>novine broj 95/19.) i članka 67.</w:t>
      </w:r>
      <w:r w:rsidRPr="005F130C">
        <w:rPr>
          <w:rFonts w:ascii="Calibri" w:hAnsi="Calibri"/>
          <w:color w:val="000000" w:themeColor="text1"/>
        </w:rPr>
        <w:t xml:space="preserve"> Statuta Osnovne škole</w:t>
      </w:r>
      <w:r w:rsidR="003F7317" w:rsidRPr="005F130C">
        <w:rPr>
          <w:rFonts w:ascii="Calibri" w:hAnsi="Calibri"/>
          <w:color w:val="000000" w:themeColor="text1"/>
        </w:rPr>
        <w:t xml:space="preserve"> Vladimira nazora Nova Bukovica</w:t>
      </w:r>
      <w:r w:rsidRPr="005F130C">
        <w:rPr>
          <w:rFonts w:ascii="Calibri" w:hAnsi="Calibri"/>
          <w:color w:val="000000" w:themeColor="text1"/>
        </w:rPr>
        <w:t>, ravnatelj</w:t>
      </w:r>
      <w:r w:rsidR="003F7317" w:rsidRPr="005F130C">
        <w:rPr>
          <w:rFonts w:ascii="Calibri" w:hAnsi="Calibri"/>
          <w:color w:val="000000" w:themeColor="text1"/>
        </w:rPr>
        <w:t>ica dana 23</w:t>
      </w:r>
      <w:r w:rsidRPr="005F130C">
        <w:rPr>
          <w:rFonts w:ascii="Calibri" w:hAnsi="Calibri"/>
          <w:color w:val="000000" w:themeColor="text1"/>
        </w:rPr>
        <w:t>. listopada</w:t>
      </w:r>
      <w:r w:rsidR="003F7317" w:rsidRPr="005F130C">
        <w:rPr>
          <w:rFonts w:ascii="Calibri" w:hAnsi="Calibri"/>
          <w:color w:val="000000" w:themeColor="text1"/>
        </w:rPr>
        <w:t xml:space="preserve"> 2020.</w:t>
      </w:r>
      <w:r w:rsidRPr="005F130C">
        <w:rPr>
          <w:rFonts w:ascii="Calibri" w:hAnsi="Calibri"/>
          <w:color w:val="000000" w:themeColor="text1"/>
        </w:rPr>
        <w:t xml:space="preserve"> godine donosi</w:t>
      </w:r>
    </w:p>
    <w:p w:rsidR="00683EBD" w:rsidRPr="005F130C" w:rsidRDefault="000A44F3">
      <w:pPr>
        <w:spacing w:before="164"/>
        <w:ind w:left="116" w:right="117"/>
        <w:jc w:val="center"/>
        <w:rPr>
          <w:rFonts w:ascii="Calibri"/>
          <w:b/>
          <w:color w:val="000000" w:themeColor="text1"/>
          <w:sz w:val="28"/>
        </w:rPr>
      </w:pPr>
      <w:r w:rsidRPr="005F130C">
        <w:rPr>
          <w:rFonts w:ascii="Calibri"/>
          <w:b/>
          <w:color w:val="000000" w:themeColor="text1"/>
          <w:sz w:val="28"/>
        </w:rPr>
        <w:t>PROCEDURU NAPLATE PRIHODA</w:t>
      </w:r>
    </w:p>
    <w:p w:rsidR="00683EBD" w:rsidRPr="005F130C" w:rsidRDefault="000A44F3">
      <w:pPr>
        <w:pStyle w:val="Naslov1"/>
        <w:spacing w:before="178"/>
        <w:ind w:left="116" w:right="116"/>
        <w:jc w:val="center"/>
        <w:rPr>
          <w:color w:val="000000" w:themeColor="text1"/>
        </w:rPr>
      </w:pPr>
      <w:r w:rsidRPr="005F130C">
        <w:rPr>
          <w:color w:val="000000" w:themeColor="text1"/>
        </w:rPr>
        <w:t>Članak 1.</w:t>
      </w:r>
    </w:p>
    <w:bookmarkEnd w:id="0"/>
    <w:p w:rsidR="00683EBD" w:rsidRDefault="000A44F3">
      <w:pPr>
        <w:pStyle w:val="Tijeloteksta"/>
        <w:spacing w:line="274" w:lineRule="exact"/>
        <w:ind w:left="116" w:right="234"/>
        <w:jc w:val="center"/>
      </w:pPr>
      <w:r>
        <w:t>Ovim aktom utvrđuje se Procedura naplate dospjelih nenaplaćenih prihoda, osim ako posebnim propisom nije utvrđeno drugačije.</w:t>
      </w:r>
    </w:p>
    <w:p w:rsidR="00683EBD" w:rsidRDefault="00683EBD">
      <w:pPr>
        <w:pStyle w:val="Tijeloteksta"/>
        <w:spacing w:before="9"/>
        <w:rPr>
          <w:sz w:val="22"/>
        </w:rPr>
      </w:pPr>
    </w:p>
    <w:p w:rsidR="00683EBD" w:rsidRDefault="000A44F3">
      <w:pPr>
        <w:pStyle w:val="Naslov1"/>
        <w:ind w:left="116" w:right="116"/>
        <w:jc w:val="center"/>
      </w:pPr>
      <w:r>
        <w:t>Članak 2.</w:t>
      </w:r>
    </w:p>
    <w:p w:rsidR="00683EBD" w:rsidRDefault="000A44F3">
      <w:pPr>
        <w:pStyle w:val="Tijeloteksta"/>
        <w:spacing w:line="274" w:lineRule="exact"/>
        <w:ind w:left="116" w:right="2093"/>
        <w:jc w:val="center"/>
      </w:pPr>
      <w:r>
        <w:t>Procedura iz članka 1. izvodi se po sljedećem postupku, osim ako posebnim propisom nije utvrđeno drugačije.</w:t>
      </w:r>
    </w:p>
    <w:p w:rsidR="00683EBD" w:rsidRDefault="00683EBD">
      <w:pPr>
        <w:pStyle w:val="Tijeloteksta"/>
        <w:spacing w:before="8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217"/>
        <w:gridCol w:w="1870"/>
        <w:gridCol w:w="3960"/>
        <w:gridCol w:w="2882"/>
      </w:tblGrid>
      <w:tr w:rsidR="00683EBD">
        <w:trPr>
          <w:trHeight w:val="551"/>
        </w:trPr>
        <w:tc>
          <w:tcPr>
            <w:tcW w:w="1066" w:type="dxa"/>
            <w:shd w:val="clear" w:color="auto" w:fill="D8D8D8"/>
          </w:tcPr>
          <w:p w:rsidR="00683EBD" w:rsidRDefault="000A44F3">
            <w:pPr>
              <w:pStyle w:val="TableParagraph"/>
              <w:spacing w:line="273" w:lineRule="exact"/>
              <w:ind w:left="2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Redni</w:t>
            </w:r>
          </w:p>
          <w:p w:rsidR="00683EBD" w:rsidRDefault="000A44F3">
            <w:pPr>
              <w:pStyle w:val="TableParagraph"/>
              <w:spacing w:line="259" w:lineRule="exact"/>
              <w:ind w:left="3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broj</w:t>
            </w:r>
          </w:p>
        </w:tc>
        <w:tc>
          <w:tcPr>
            <w:tcW w:w="4217" w:type="dxa"/>
            <w:shd w:val="clear" w:color="auto" w:fill="D8D8D8"/>
          </w:tcPr>
          <w:p w:rsidR="00683EBD" w:rsidRDefault="000A44F3">
            <w:pPr>
              <w:pStyle w:val="TableParagraph"/>
              <w:spacing w:before="135"/>
              <w:ind w:left="13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</w:tc>
        <w:tc>
          <w:tcPr>
            <w:tcW w:w="1870" w:type="dxa"/>
            <w:shd w:val="clear" w:color="auto" w:fill="D8D8D8"/>
          </w:tcPr>
          <w:p w:rsidR="00683EBD" w:rsidRDefault="000A44F3">
            <w:pPr>
              <w:pStyle w:val="TableParagraph"/>
              <w:spacing w:before="135"/>
              <w:ind w:left="8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NADLEŽNOST</w:t>
            </w:r>
          </w:p>
        </w:tc>
        <w:tc>
          <w:tcPr>
            <w:tcW w:w="3960" w:type="dxa"/>
            <w:shd w:val="clear" w:color="auto" w:fill="D8D8D8"/>
          </w:tcPr>
          <w:p w:rsidR="00683EBD" w:rsidRDefault="000A44F3">
            <w:pPr>
              <w:pStyle w:val="TableParagraph"/>
              <w:spacing w:before="135"/>
              <w:ind w:left="97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DOKUMENT</w:t>
            </w:r>
          </w:p>
        </w:tc>
        <w:tc>
          <w:tcPr>
            <w:tcW w:w="2882" w:type="dxa"/>
            <w:shd w:val="clear" w:color="auto" w:fill="D8D8D8"/>
          </w:tcPr>
          <w:p w:rsidR="00683EBD" w:rsidRDefault="000A44F3">
            <w:pPr>
              <w:pStyle w:val="TableParagraph"/>
              <w:spacing w:before="135"/>
              <w:ind w:left="200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ROK</w:t>
            </w:r>
          </w:p>
        </w:tc>
      </w:tr>
      <w:tr w:rsidR="00683EBD">
        <w:trPr>
          <w:trHeight w:val="551"/>
        </w:trPr>
        <w:tc>
          <w:tcPr>
            <w:tcW w:w="1066" w:type="dxa"/>
          </w:tcPr>
          <w:p w:rsidR="00683EBD" w:rsidRDefault="000A44F3">
            <w:pPr>
              <w:pStyle w:val="TableParagraph"/>
              <w:spacing w:before="131"/>
              <w:ind w:left="363" w:right="35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17" w:type="dxa"/>
          </w:tcPr>
          <w:p w:rsidR="00683EBD" w:rsidRDefault="000A44F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Dostava podataka Računovodstvu</w:t>
            </w:r>
          </w:p>
          <w:p w:rsidR="00683EBD" w:rsidRDefault="000A44F3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potrebnih za izdavanje računa</w:t>
            </w:r>
          </w:p>
        </w:tc>
        <w:tc>
          <w:tcPr>
            <w:tcW w:w="1870" w:type="dxa"/>
          </w:tcPr>
          <w:p w:rsidR="00683EBD" w:rsidRDefault="000A44F3">
            <w:pPr>
              <w:pStyle w:val="TableParagraph"/>
              <w:spacing w:before="131"/>
              <w:ind w:left="84" w:right="80"/>
              <w:rPr>
                <w:sz w:val="24"/>
              </w:rPr>
            </w:pPr>
            <w:r>
              <w:rPr>
                <w:sz w:val="24"/>
              </w:rPr>
              <w:t>Tajništvo</w:t>
            </w:r>
          </w:p>
        </w:tc>
        <w:tc>
          <w:tcPr>
            <w:tcW w:w="3960" w:type="dxa"/>
          </w:tcPr>
          <w:p w:rsidR="00683EBD" w:rsidRDefault="000A44F3">
            <w:pPr>
              <w:pStyle w:val="TableParagraph"/>
              <w:spacing w:before="131"/>
              <w:ind w:left="96" w:right="89"/>
              <w:rPr>
                <w:sz w:val="24"/>
              </w:rPr>
            </w:pPr>
            <w:r>
              <w:rPr>
                <w:sz w:val="24"/>
              </w:rPr>
              <w:t>Ugovor, narudžbenica</w:t>
            </w:r>
          </w:p>
        </w:tc>
        <w:tc>
          <w:tcPr>
            <w:tcW w:w="2882" w:type="dxa"/>
          </w:tcPr>
          <w:p w:rsidR="00683EBD" w:rsidRDefault="000A44F3">
            <w:pPr>
              <w:pStyle w:val="TableParagraph"/>
              <w:spacing w:before="131"/>
              <w:ind w:left="200" w:right="197"/>
              <w:rPr>
                <w:sz w:val="24"/>
              </w:rPr>
            </w:pPr>
            <w:r>
              <w:rPr>
                <w:sz w:val="24"/>
              </w:rPr>
              <w:t>Tijekom godine</w:t>
            </w:r>
          </w:p>
        </w:tc>
      </w:tr>
      <w:tr w:rsidR="00683EBD">
        <w:trPr>
          <w:trHeight w:val="424"/>
        </w:trPr>
        <w:tc>
          <w:tcPr>
            <w:tcW w:w="1066" w:type="dxa"/>
          </w:tcPr>
          <w:p w:rsidR="00683EBD" w:rsidRDefault="000A44F3">
            <w:pPr>
              <w:pStyle w:val="TableParagraph"/>
              <w:spacing w:before="66"/>
              <w:ind w:left="363" w:right="35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17" w:type="dxa"/>
          </w:tcPr>
          <w:p w:rsidR="00683EBD" w:rsidRDefault="000A44F3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z w:val="24"/>
              </w:rPr>
              <w:t>Izdavanje/izrada računa</w:t>
            </w:r>
          </w:p>
        </w:tc>
        <w:tc>
          <w:tcPr>
            <w:tcW w:w="1870" w:type="dxa"/>
          </w:tcPr>
          <w:p w:rsidR="00683EBD" w:rsidRDefault="000A44F3">
            <w:pPr>
              <w:pStyle w:val="TableParagraph"/>
              <w:spacing w:before="66"/>
              <w:ind w:left="86" w:right="79"/>
              <w:rPr>
                <w:sz w:val="24"/>
              </w:rPr>
            </w:pPr>
            <w:r>
              <w:rPr>
                <w:sz w:val="24"/>
              </w:rPr>
              <w:t>Računovodstvo</w:t>
            </w:r>
          </w:p>
        </w:tc>
        <w:tc>
          <w:tcPr>
            <w:tcW w:w="3960" w:type="dxa"/>
          </w:tcPr>
          <w:p w:rsidR="00683EBD" w:rsidRDefault="000A44F3">
            <w:pPr>
              <w:pStyle w:val="TableParagraph"/>
              <w:spacing w:before="66"/>
              <w:ind w:left="100" w:right="89"/>
              <w:rPr>
                <w:sz w:val="24"/>
              </w:rPr>
            </w:pPr>
            <w:r>
              <w:rPr>
                <w:sz w:val="24"/>
              </w:rPr>
              <w:t>Računi/zaduženja</w:t>
            </w:r>
          </w:p>
        </w:tc>
        <w:tc>
          <w:tcPr>
            <w:tcW w:w="2882" w:type="dxa"/>
          </w:tcPr>
          <w:p w:rsidR="00683EBD" w:rsidRDefault="000A44F3">
            <w:pPr>
              <w:pStyle w:val="TableParagraph"/>
              <w:spacing w:before="66"/>
              <w:ind w:left="200" w:right="196"/>
              <w:rPr>
                <w:sz w:val="24"/>
              </w:rPr>
            </w:pPr>
            <w:r>
              <w:rPr>
                <w:sz w:val="24"/>
              </w:rPr>
              <w:t>Tijekom godine</w:t>
            </w:r>
          </w:p>
        </w:tc>
      </w:tr>
      <w:tr w:rsidR="00683EBD">
        <w:trPr>
          <w:trHeight w:val="417"/>
        </w:trPr>
        <w:tc>
          <w:tcPr>
            <w:tcW w:w="1066" w:type="dxa"/>
          </w:tcPr>
          <w:p w:rsidR="00683EBD" w:rsidRDefault="000A44F3">
            <w:pPr>
              <w:pStyle w:val="TableParagraph"/>
              <w:spacing w:before="63"/>
              <w:ind w:left="363" w:right="35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17" w:type="dxa"/>
          </w:tcPr>
          <w:p w:rsidR="00683EBD" w:rsidRDefault="000A44F3">
            <w:pPr>
              <w:pStyle w:val="TableParagraph"/>
              <w:spacing w:before="63"/>
              <w:jc w:val="left"/>
              <w:rPr>
                <w:sz w:val="24"/>
              </w:rPr>
            </w:pPr>
            <w:r>
              <w:rPr>
                <w:sz w:val="24"/>
              </w:rPr>
              <w:t>Ovjera i potpis računa</w:t>
            </w:r>
          </w:p>
        </w:tc>
        <w:tc>
          <w:tcPr>
            <w:tcW w:w="1870" w:type="dxa"/>
          </w:tcPr>
          <w:p w:rsidR="00683EBD" w:rsidRDefault="000A44F3">
            <w:pPr>
              <w:pStyle w:val="TableParagraph"/>
              <w:spacing w:before="63"/>
              <w:ind w:left="85" w:right="80"/>
              <w:rPr>
                <w:sz w:val="24"/>
              </w:rPr>
            </w:pPr>
            <w:r>
              <w:rPr>
                <w:sz w:val="24"/>
              </w:rPr>
              <w:t>Ravnatelj</w:t>
            </w:r>
          </w:p>
        </w:tc>
        <w:tc>
          <w:tcPr>
            <w:tcW w:w="3960" w:type="dxa"/>
          </w:tcPr>
          <w:p w:rsidR="00683EBD" w:rsidRDefault="000A44F3">
            <w:pPr>
              <w:pStyle w:val="TableParagraph"/>
              <w:spacing w:before="63"/>
              <w:ind w:left="96" w:right="89"/>
              <w:rPr>
                <w:sz w:val="24"/>
              </w:rPr>
            </w:pPr>
            <w:r>
              <w:rPr>
                <w:sz w:val="24"/>
              </w:rPr>
              <w:t>Račun</w:t>
            </w:r>
          </w:p>
        </w:tc>
        <w:tc>
          <w:tcPr>
            <w:tcW w:w="2882" w:type="dxa"/>
          </w:tcPr>
          <w:p w:rsidR="00683EBD" w:rsidRDefault="000A44F3">
            <w:pPr>
              <w:pStyle w:val="TableParagraph"/>
              <w:spacing w:before="63"/>
              <w:ind w:left="200" w:right="198"/>
              <w:rPr>
                <w:sz w:val="24"/>
              </w:rPr>
            </w:pPr>
            <w:r>
              <w:rPr>
                <w:sz w:val="24"/>
              </w:rPr>
              <w:t>2 dana od izrade računa</w:t>
            </w:r>
          </w:p>
        </w:tc>
      </w:tr>
      <w:tr w:rsidR="00683EBD">
        <w:trPr>
          <w:trHeight w:val="419"/>
        </w:trPr>
        <w:tc>
          <w:tcPr>
            <w:tcW w:w="1066" w:type="dxa"/>
          </w:tcPr>
          <w:p w:rsidR="00683EBD" w:rsidRDefault="000A44F3">
            <w:pPr>
              <w:pStyle w:val="TableParagraph"/>
              <w:spacing w:before="63"/>
              <w:ind w:left="363" w:right="35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17" w:type="dxa"/>
          </w:tcPr>
          <w:p w:rsidR="00683EBD" w:rsidRDefault="000A44F3">
            <w:pPr>
              <w:pStyle w:val="TableParagraph"/>
              <w:spacing w:before="63"/>
              <w:jc w:val="left"/>
              <w:rPr>
                <w:sz w:val="24"/>
              </w:rPr>
            </w:pPr>
            <w:r>
              <w:rPr>
                <w:sz w:val="24"/>
              </w:rPr>
              <w:t>Slanje izlaznog računa</w:t>
            </w:r>
          </w:p>
        </w:tc>
        <w:tc>
          <w:tcPr>
            <w:tcW w:w="1870" w:type="dxa"/>
          </w:tcPr>
          <w:p w:rsidR="00683EBD" w:rsidRDefault="000A44F3">
            <w:pPr>
              <w:pStyle w:val="TableParagraph"/>
              <w:spacing w:before="63"/>
              <w:ind w:left="85" w:right="80"/>
              <w:rPr>
                <w:sz w:val="24"/>
              </w:rPr>
            </w:pPr>
            <w:r>
              <w:rPr>
                <w:sz w:val="24"/>
              </w:rPr>
              <w:t>Tajništvo</w:t>
            </w:r>
          </w:p>
        </w:tc>
        <w:tc>
          <w:tcPr>
            <w:tcW w:w="3960" w:type="dxa"/>
          </w:tcPr>
          <w:p w:rsidR="00683EBD" w:rsidRDefault="000A44F3">
            <w:pPr>
              <w:pStyle w:val="TableParagraph"/>
              <w:spacing w:before="63"/>
              <w:ind w:left="100" w:right="88"/>
              <w:rPr>
                <w:sz w:val="24"/>
              </w:rPr>
            </w:pPr>
            <w:r>
              <w:rPr>
                <w:sz w:val="24"/>
              </w:rPr>
              <w:t>Knjiga izlazne pošte</w:t>
            </w:r>
          </w:p>
        </w:tc>
        <w:tc>
          <w:tcPr>
            <w:tcW w:w="2882" w:type="dxa"/>
          </w:tcPr>
          <w:p w:rsidR="00683EBD" w:rsidRDefault="000A44F3">
            <w:pPr>
              <w:pStyle w:val="TableParagraph"/>
              <w:spacing w:before="63"/>
              <w:ind w:left="200" w:right="194"/>
              <w:rPr>
                <w:sz w:val="24"/>
              </w:rPr>
            </w:pPr>
            <w:r>
              <w:rPr>
                <w:sz w:val="24"/>
              </w:rPr>
              <w:t>2 dana nakon ovjere</w:t>
            </w:r>
          </w:p>
        </w:tc>
      </w:tr>
      <w:tr w:rsidR="00683EBD">
        <w:trPr>
          <w:trHeight w:val="570"/>
        </w:trPr>
        <w:tc>
          <w:tcPr>
            <w:tcW w:w="1066" w:type="dxa"/>
          </w:tcPr>
          <w:p w:rsidR="00683EBD" w:rsidRDefault="000A44F3">
            <w:pPr>
              <w:pStyle w:val="TableParagraph"/>
              <w:spacing w:before="140"/>
              <w:ind w:left="363" w:right="35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17" w:type="dxa"/>
          </w:tcPr>
          <w:p w:rsidR="00683EBD" w:rsidRDefault="000A44F3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Unos podataka u</w:t>
            </w:r>
          </w:p>
          <w:p w:rsidR="00683EBD" w:rsidRDefault="000A44F3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sustav (knjiženje izlaznih računa)</w:t>
            </w:r>
          </w:p>
        </w:tc>
        <w:tc>
          <w:tcPr>
            <w:tcW w:w="1870" w:type="dxa"/>
          </w:tcPr>
          <w:p w:rsidR="00683EBD" w:rsidRDefault="000A44F3">
            <w:pPr>
              <w:pStyle w:val="TableParagraph"/>
              <w:spacing w:before="140"/>
              <w:ind w:left="85" w:right="80"/>
              <w:rPr>
                <w:sz w:val="24"/>
              </w:rPr>
            </w:pPr>
            <w:r>
              <w:rPr>
                <w:sz w:val="24"/>
              </w:rPr>
              <w:t>Računovodstvo</w:t>
            </w:r>
          </w:p>
        </w:tc>
        <w:tc>
          <w:tcPr>
            <w:tcW w:w="3960" w:type="dxa"/>
          </w:tcPr>
          <w:p w:rsidR="00683EBD" w:rsidRDefault="000A44F3">
            <w:pPr>
              <w:pStyle w:val="TableParagraph"/>
              <w:spacing w:before="140"/>
              <w:ind w:left="100" w:right="30"/>
              <w:rPr>
                <w:sz w:val="24"/>
              </w:rPr>
            </w:pPr>
            <w:r>
              <w:rPr>
                <w:sz w:val="24"/>
              </w:rPr>
              <w:t>Knjiga Izlaznih računa, Glavna knjiga</w:t>
            </w:r>
          </w:p>
        </w:tc>
        <w:tc>
          <w:tcPr>
            <w:tcW w:w="2882" w:type="dxa"/>
          </w:tcPr>
          <w:p w:rsidR="00683EBD" w:rsidRDefault="000A44F3">
            <w:pPr>
              <w:pStyle w:val="TableParagraph"/>
              <w:spacing w:before="1" w:line="270" w:lineRule="atLeast"/>
              <w:ind w:left="822" w:right="172" w:hanging="622"/>
              <w:jc w:val="left"/>
              <w:rPr>
                <w:sz w:val="24"/>
              </w:rPr>
            </w:pPr>
            <w:r>
              <w:rPr>
                <w:sz w:val="24"/>
              </w:rPr>
              <w:t>Unutar mjeseca na koji se račun odnosi</w:t>
            </w:r>
          </w:p>
        </w:tc>
      </w:tr>
      <w:tr w:rsidR="00683EBD">
        <w:trPr>
          <w:trHeight w:val="345"/>
        </w:trPr>
        <w:tc>
          <w:tcPr>
            <w:tcW w:w="1066" w:type="dxa"/>
          </w:tcPr>
          <w:p w:rsidR="00683EBD" w:rsidRDefault="000A44F3">
            <w:pPr>
              <w:pStyle w:val="TableParagraph"/>
              <w:spacing w:before="25"/>
              <w:ind w:left="363" w:right="35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17" w:type="dxa"/>
          </w:tcPr>
          <w:p w:rsidR="00683EBD" w:rsidRDefault="000A44F3">
            <w:pPr>
              <w:pStyle w:val="TableParagraph"/>
              <w:spacing w:before="25"/>
              <w:jc w:val="left"/>
              <w:rPr>
                <w:sz w:val="24"/>
              </w:rPr>
            </w:pPr>
            <w:r>
              <w:rPr>
                <w:sz w:val="24"/>
              </w:rPr>
              <w:t>Evidentiranje naplaćenih prihoda</w:t>
            </w:r>
          </w:p>
        </w:tc>
        <w:tc>
          <w:tcPr>
            <w:tcW w:w="1870" w:type="dxa"/>
          </w:tcPr>
          <w:p w:rsidR="00683EBD" w:rsidRDefault="000A44F3">
            <w:pPr>
              <w:pStyle w:val="TableParagraph"/>
              <w:spacing w:before="25"/>
              <w:ind w:left="86" w:right="80"/>
              <w:rPr>
                <w:sz w:val="24"/>
              </w:rPr>
            </w:pPr>
            <w:r>
              <w:rPr>
                <w:sz w:val="24"/>
              </w:rPr>
              <w:t>Računovodstvo</w:t>
            </w:r>
          </w:p>
        </w:tc>
        <w:tc>
          <w:tcPr>
            <w:tcW w:w="3960" w:type="dxa"/>
          </w:tcPr>
          <w:p w:rsidR="00683EBD" w:rsidRDefault="000A44F3">
            <w:pPr>
              <w:pStyle w:val="TableParagraph"/>
              <w:spacing w:before="25"/>
              <w:ind w:left="97" w:right="89"/>
              <w:rPr>
                <w:sz w:val="24"/>
              </w:rPr>
            </w:pPr>
            <w:r>
              <w:rPr>
                <w:sz w:val="24"/>
              </w:rPr>
              <w:t>Knjiga izlaznih računa, Glavna knjiga</w:t>
            </w:r>
          </w:p>
        </w:tc>
        <w:tc>
          <w:tcPr>
            <w:tcW w:w="2882" w:type="dxa"/>
          </w:tcPr>
          <w:p w:rsidR="00683EBD" w:rsidRDefault="000A44F3">
            <w:pPr>
              <w:pStyle w:val="TableParagraph"/>
              <w:spacing w:before="25"/>
              <w:ind w:left="198" w:right="198"/>
              <w:rPr>
                <w:sz w:val="24"/>
              </w:rPr>
            </w:pPr>
            <w:r>
              <w:rPr>
                <w:sz w:val="24"/>
              </w:rPr>
              <w:t>Tjedno/Mjesečno</w:t>
            </w:r>
          </w:p>
        </w:tc>
      </w:tr>
    </w:tbl>
    <w:p w:rsidR="00683EBD" w:rsidRDefault="00683EBD">
      <w:pPr>
        <w:rPr>
          <w:sz w:val="24"/>
        </w:rPr>
        <w:sectPr w:rsidR="00683EBD">
          <w:footerReference w:type="default" r:id="rId6"/>
          <w:type w:val="continuous"/>
          <w:pgSz w:w="16840" w:h="11910" w:orient="landscape"/>
          <w:pgMar w:top="1100" w:right="1300" w:bottom="1200" w:left="1300" w:header="720" w:footer="1005" w:gutter="0"/>
          <w:pgNumType w:start="1"/>
          <w:cols w:space="720"/>
        </w:sectPr>
      </w:pPr>
    </w:p>
    <w:p w:rsidR="00683EBD" w:rsidRDefault="00683EBD">
      <w:pPr>
        <w:pStyle w:val="Tijeloteksta"/>
        <w:spacing w:before="10"/>
        <w:rPr>
          <w:sz w:val="2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217"/>
        <w:gridCol w:w="1870"/>
        <w:gridCol w:w="3960"/>
        <w:gridCol w:w="2882"/>
      </w:tblGrid>
      <w:tr w:rsidR="00683EBD">
        <w:trPr>
          <w:trHeight w:val="553"/>
        </w:trPr>
        <w:tc>
          <w:tcPr>
            <w:tcW w:w="1066" w:type="dxa"/>
          </w:tcPr>
          <w:p w:rsidR="00683EBD" w:rsidRDefault="000A44F3">
            <w:pPr>
              <w:pStyle w:val="TableParagraph"/>
              <w:spacing w:before="131"/>
              <w:ind w:left="363" w:right="35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17" w:type="dxa"/>
          </w:tcPr>
          <w:p w:rsidR="00683EBD" w:rsidRDefault="000A44F3">
            <w:pPr>
              <w:pStyle w:val="TableParagraph"/>
              <w:spacing w:before="131"/>
              <w:jc w:val="left"/>
              <w:rPr>
                <w:sz w:val="24"/>
              </w:rPr>
            </w:pPr>
            <w:r>
              <w:rPr>
                <w:sz w:val="24"/>
              </w:rPr>
              <w:t>Praćenje naplate prihoda (analitika)</w:t>
            </w:r>
          </w:p>
        </w:tc>
        <w:tc>
          <w:tcPr>
            <w:tcW w:w="1870" w:type="dxa"/>
          </w:tcPr>
          <w:p w:rsidR="00683EBD" w:rsidRDefault="000A44F3">
            <w:pPr>
              <w:pStyle w:val="TableParagraph"/>
              <w:spacing w:before="131"/>
              <w:ind w:left="85" w:right="80"/>
              <w:rPr>
                <w:sz w:val="24"/>
              </w:rPr>
            </w:pPr>
            <w:r>
              <w:rPr>
                <w:sz w:val="24"/>
              </w:rPr>
              <w:t>Računovodstvo</w:t>
            </w:r>
          </w:p>
        </w:tc>
        <w:tc>
          <w:tcPr>
            <w:tcW w:w="3960" w:type="dxa"/>
          </w:tcPr>
          <w:p w:rsidR="00683EBD" w:rsidRDefault="000A44F3">
            <w:pPr>
              <w:pStyle w:val="TableParagraph"/>
              <w:spacing w:line="270" w:lineRule="exact"/>
              <w:ind w:left="100" w:right="88"/>
              <w:rPr>
                <w:sz w:val="24"/>
              </w:rPr>
            </w:pPr>
            <w:r>
              <w:rPr>
                <w:sz w:val="24"/>
              </w:rPr>
              <w:t>Izvadak po poslovnom</w:t>
            </w:r>
          </w:p>
          <w:p w:rsidR="00683EBD" w:rsidRDefault="000A44F3">
            <w:pPr>
              <w:pStyle w:val="TableParagraph"/>
              <w:spacing w:line="264" w:lineRule="exact"/>
              <w:ind w:left="98" w:right="89"/>
              <w:rPr>
                <w:sz w:val="24"/>
              </w:rPr>
            </w:pPr>
            <w:r>
              <w:rPr>
                <w:sz w:val="24"/>
              </w:rPr>
              <w:t>računu/Blagajnički izvještaj-uplatnice</w:t>
            </w:r>
          </w:p>
        </w:tc>
        <w:tc>
          <w:tcPr>
            <w:tcW w:w="2882" w:type="dxa"/>
          </w:tcPr>
          <w:p w:rsidR="00683EBD" w:rsidRDefault="000A44F3">
            <w:pPr>
              <w:pStyle w:val="TableParagraph"/>
              <w:spacing w:before="131"/>
              <w:ind w:left="200" w:right="198"/>
              <w:rPr>
                <w:sz w:val="24"/>
              </w:rPr>
            </w:pPr>
            <w:r>
              <w:rPr>
                <w:sz w:val="24"/>
              </w:rPr>
              <w:t>Tjedno/Mjesečno</w:t>
            </w:r>
          </w:p>
        </w:tc>
      </w:tr>
      <w:tr w:rsidR="00683EBD">
        <w:trPr>
          <w:trHeight w:val="551"/>
        </w:trPr>
        <w:tc>
          <w:tcPr>
            <w:tcW w:w="1066" w:type="dxa"/>
          </w:tcPr>
          <w:p w:rsidR="00683EBD" w:rsidRDefault="000A44F3">
            <w:pPr>
              <w:pStyle w:val="TableParagraph"/>
              <w:spacing w:before="128"/>
              <w:ind w:left="363" w:right="35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17" w:type="dxa"/>
          </w:tcPr>
          <w:p w:rsidR="00683EBD" w:rsidRDefault="000A44F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Utvrđivanje stanja dospjelih i</w:t>
            </w:r>
          </w:p>
          <w:p w:rsidR="00683EBD" w:rsidRDefault="000A44F3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nenaplaćenih potraživanja/prihoda</w:t>
            </w:r>
          </w:p>
        </w:tc>
        <w:tc>
          <w:tcPr>
            <w:tcW w:w="1870" w:type="dxa"/>
          </w:tcPr>
          <w:p w:rsidR="00683EBD" w:rsidRDefault="000A44F3">
            <w:pPr>
              <w:pStyle w:val="TableParagraph"/>
              <w:spacing w:before="128"/>
              <w:ind w:left="85" w:right="80"/>
              <w:rPr>
                <w:sz w:val="24"/>
              </w:rPr>
            </w:pPr>
            <w:r>
              <w:rPr>
                <w:sz w:val="24"/>
              </w:rPr>
              <w:t>Računovodstvo</w:t>
            </w:r>
          </w:p>
        </w:tc>
        <w:tc>
          <w:tcPr>
            <w:tcW w:w="3960" w:type="dxa"/>
          </w:tcPr>
          <w:p w:rsidR="00683EBD" w:rsidRDefault="000A44F3">
            <w:pPr>
              <w:pStyle w:val="TableParagraph"/>
              <w:spacing w:before="128"/>
              <w:ind w:left="97" w:right="89"/>
              <w:rPr>
                <w:sz w:val="24"/>
              </w:rPr>
            </w:pPr>
            <w:r>
              <w:rPr>
                <w:sz w:val="24"/>
              </w:rPr>
              <w:t>Izvod otvorenih stavaka</w:t>
            </w:r>
          </w:p>
        </w:tc>
        <w:tc>
          <w:tcPr>
            <w:tcW w:w="2882" w:type="dxa"/>
          </w:tcPr>
          <w:p w:rsidR="00683EBD" w:rsidRDefault="000A44F3">
            <w:pPr>
              <w:pStyle w:val="TableParagraph"/>
              <w:spacing w:before="128"/>
              <w:ind w:left="200" w:right="197"/>
              <w:rPr>
                <w:sz w:val="24"/>
              </w:rPr>
            </w:pPr>
            <w:r>
              <w:rPr>
                <w:sz w:val="24"/>
              </w:rPr>
              <w:t>Mjesečno</w:t>
            </w:r>
          </w:p>
        </w:tc>
      </w:tr>
      <w:tr w:rsidR="00683EBD">
        <w:trPr>
          <w:trHeight w:val="551"/>
        </w:trPr>
        <w:tc>
          <w:tcPr>
            <w:tcW w:w="1066" w:type="dxa"/>
          </w:tcPr>
          <w:p w:rsidR="00683EBD" w:rsidRDefault="000A44F3">
            <w:pPr>
              <w:pStyle w:val="TableParagraph"/>
              <w:spacing w:before="128"/>
              <w:ind w:left="363" w:right="35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17" w:type="dxa"/>
          </w:tcPr>
          <w:p w:rsidR="00683EBD" w:rsidRDefault="000A44F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Upozoravanje i izdavanje opomena i</w:t>
            </w:r>
          </w:p>
          <w:p w:rsidR="00683EBD" w:rsidRDefault="000A44F3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opomena pred tužbu</w:t>
            </w:r>
          </w:p>
        </w:tc>
        <w:tc>
          <w:tcPr>
            <w:tcW w:w="1870" w:type="dxa"/>
          </w:tcPr>
          <w:p w:rsidR="00683EBD" w:rsidRDefault="000A44F3">
            <w:pPr>
              <w:pStyle w:val="TableParagraph"/>
              <w:spacing w:before="128"/>
              <w:ind w:left="85" w:right="80"/>
              <w:rPr>
                <w:sz w:val="24"/>
              </w:rPr>
            </w:pPr>
            <w:r>
              <w:rPr>
                <w:sz w:val="24"/>
              </w:rPr>
              <w:t>Računovodstvo</w:t>
            </w:r>
          </w:p>
        </w:tc>
        <w:tc>
          <w:tcPr>
            <w:tcW w:w="3960" w:type="dxa"/>
          </w:tcPr>
          <w:p w:rsidR="00683EBD" w:rsidRDefault="000A44F3">
            <w:pPr>
              <w:pStyle w:val="TableParagraph"/>
              <w:spacing w:before="128"/>
              <w:ind w:left="100" w:right="89"/>
              <w:rPr>
                <w:sz w:val="24"/>
              </w:rPr>
            </w:pPr>
            <w:r>
              <w:rPr>
                <w:sz w:val="24"/>
              </w:rPr>
              <w:t>Opomene i opomene pred tužbu</w:t>
            </w:r>
          </w:p>
        </w:tc>
        <w:tc>
          <w:tcPr>
            <w:tcW w:w="2882" w:type="dxa"/>
          </w:tcPr>
          <w:p w:rsidR="00683EBD" w:rsidRDefault="000A44F3">
            <w:pPr>
              <w:pStyle w:val="TableParagraph"/>
              <w:spacing w:before="128"/>
              <w:ind w:left="200" w:right="197"/>
              <w:rPr>
                <w:sz w:val="24"/>
              </w:rPr>
            </w:pPr>
            <w:r>
              <w:rPr>
                <w:sz w:val="24"/>
              </w:rPr>
              <w:t>Tijekom godine</w:t>
            </w:r>
          </w:p>
        </w:tc>
      </w:tr>
      <w:tr w:rsidR="00683EBD">
        <w:trPr>
          <w:trHeight w:val="551"/>
        </w:trPr>
        <w:tc>
          <w:tcPr>
            <w:tcW w:w="1066" w:type="dxa"/>
          </w:tcPr>
          <w:p w:rsidR="00683EBD" w:rsidRDefault="000A44F3">
            <w:pPr>
              <w:pStyle w:val="TableParagraph"/>
              <w:spacing w:before="131"/>
              <w:ind w:left="363" w:right="35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17" w:type="dxa"/>
          </w:tcPr>
          <w:p w:rsidR="00683EBD" w:rsidRDefault="000A44F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Donošenje odluke o prisilnoj naplati</w:t>
            </w:r>
          </w:p>
          <w:p w:rsidR="00683EBD" w:rsidRDefault="000A44F3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potraživanja</w:t>
            </w:r>
          </w:p>
        </w:tc>
        <w:tc>
          <w:tcPr>
            <w:tcW w:w="1870" w:type="dxa"/>
          </w:tcPr>
          <w:p w:rsidR="00683EBD" w:rsidRDefault="000A44F3">
            <w:pPr>
              <w:pStyle w:val="TableParagraph"/>
              <w:spacing w:before="131"/>
              <w:ind w:left="86" w:right="80"/>
              <w:rPr>
                <w:sz w:val="24"/>
              </w:rPr>
            </w:pPr>
            <w:r>
              <w:rPr>
                <w:sz w:val="24"/>
              </w:rPr>
              <w:t>Ravnatelj</w:t>
            </w:r>
          </w:p>
        </w:tc>
        <w:tc>
          <w:tcPr>
            <w:tcW w:w="3960" w:type="dxa"/>
          </w:tcPr>
          <w:p w:rsidR="00683EBD" w:rsidRDefault="000A44F3">
            <w:pPr>
              <w:pStyle w:val="TableParagraph"/>
              <w:spacing w:before="131"/>
              <w:ind w:left="100" w:right="85"/>
              <w:rPr>
                <w:sz w:val="24"/>
              </w:rPr>
            </w:pPr>
            <w:r>
              <w:rPr>
                <w:sz w:val="24"/>
              </w:rPr>
              <w:t>Odluka o prisilnoj naplati potraživanja</w:t>
            </w:r>
          </w:p>
        </w:tc>
        <w:tc>
          <w:tcPr>
            <w:tcW w:w="2882" w:type="dxa"/>
          </w:tcPr>
          <w:p w:rsidR="00683EBD" w:rsidRDefault="000A44F3">
            <w:pPr>
              <w:pStyle w:val="TableParagraph"/>
              <w:spacing w:before="131"/>
              <w:ind w:left="200" w:right="196"/>
              <w:rPr>
                <w:sz w:val="24"/>
              </w:rPr>
            </w:pPr>
            <w:r>
              <w:rPr>
                <w:sz w:val="24"/>
              </w:rPr>
              <w:t>Tijekom godine</w:t>
            </w:r>
          </w:p>
        </w:tc>
      </w:tr>
      <w:tr w:rsidR="00683EBD">
        <w:trPr>
          <w:trHeight w:val="551"/>
        </w:trPr>
        <w:tc>
          <w:tcPr>
            <w:tcW w:w="1066" w:type="dxa"/>
          </w:tcPr>
          <w:p w:rsidR="00683EBD" w:rsidRDefault="000A44F3">
            <w:pPr>
              <w:pStyle w:val="TableParagraph"/>
              <w:spacing w:before="131"/>
              <w:ind w:left="363" w:right="35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17" w:type="dxa"/>
          </w:tcPr>
          <w:p w:rsidR="00683EBD" w:rsidRDefault="000A44F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Ovrha-prisilna naplata potraživanja u</w:t>
            </w:r>
          </w:p>
          <w:p w:rsidR="00683EBD" w:rsidRDefault="000A44F3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skladu s Ovršnim zakonom</w:t>
            </w:r>
          </w:p>
        </w:tc>
        <w:tc>
          <w:tcPr>
            <w:tcW w:w="1870" w:type="dxa"/>
          </w:tcPr>
          <w:p w:rsidR="00683EBD" w:rsidRDefault="000A44F3">
            <w:pPr>
              <w:pStyle w:val="TableParagraph"/>
              <w:spacing w:before="131"/>
              <w:ind w:left="84" w:right="80"/>
              <w:rPr>
                <w:sz w:val="24"/>
              </w:rPr>
            </w:pPr>
            <w:r>
              <w:rPr>
                <w:sz w:val="24"/>
              </w:rPr>
              <w:t>Tajništvo</w:t>
            </w:r>
          </w:p>
        </w:tc>
        <w:tc>
          <w:tcPr>
            <w:tcW w:w="3960" w:type="dxa"/>
          </w:tcPr>
          <w:p w:rsidR="00683EBD" w:rsidRDefault="000A44F3">
            <w:pPr>
              <w:pStyle w:val="TableParagraph"/>
              <w:spacing w:before="131"/>
              <w:ind w:left="100" w:right="89"/>
              <w:rPr>
                <w:sz w:val="24"/>
              </w:rPr>
            </w:pPr>
            <w:r>
              <w:rPr>
                <w:sz w:val="24"/>
              </w:rPr>
              <w:t>Ovršni postupak kod javnog bilježnika</w:t>
            </w:r>
          </w:p>
        </w:tc>
        <w:tc>
          <w:tcPr>
            <w:tcW w:w="2882" w:type="dxa"/>
          </w:tcPr>
          <w:p w:rsidR="00683EBD" w:rsidRDefault="000A44F3">
            <w:pPr>
              <w:pStyle w:val="TableParagraph"/>
              <w:spacing w:line="268" w:lineRule="exact"/>
              <w:ind w:left="200" w:right="198"/>
              <w:rPr>
                <w:sz w:val="24"/>
              </w:rPr>
            </w:pPr>
            <w:r>
              <w:rPr>
                <w:sz w:val="24"/>
              </w:rPr>
              <w:t>15 dana nakon donošenja</w:t>
            </w:r>
          </w:p>
          <w:p w:rsidR="00683EBD" w:rsidRDefault="000A44F3">
            <w:pPr>
              <w:pStyle w:val="TableParagraph"/>
              <w:spacing w:line="264" w:lineRule="exact"/>
              <w:ind w:left="200" w:right="194"/>
              <w:rPr>
                <w:sz w:val="24"/>
              </w:rPr>
            </w:pPr>
            <w:r>
              <w:rPr>
                <w:sz w:val="24"/>
              </w:rPr>
              <w:t>Odluke</w:t>
            </w:r>
          </w:p>
        </w:tc>
      </w:tr>
    </w:tbl>
    <w:p w:rsidR="00683EBD" w:rsidRDefault="00683EBD">
      <w:pPr>
        <w:pStyle w:val="Tijeloteksta"/>
        <w:spacing w:before="10"/>
        <w:rPr>
          <w:sz w:val="15"/>
        </w:rPr>
      </w:pPr>
    </w:p>
    <w:p w:rsidR="00683EBD" w:rsidRDefault="000A44F3">
      <w:pPr>
        <w:pStyle w:val="Naslov1"/>
        <w:spacing w:before="90"/>
      </w:pPr>
      <w:r>
        <w:t>Članak 3.</w:t>
      </w:r>
    </w:p>
    <w:p w:rsidR="00683EBD" w:rsidRDefault="000A44F3">
      <w:pPr>
        <w:pStyle w:val="Tijeloteksta"/>
        <w:ind w:left="116" w:firstLine="707"/>
      </w:pPr>
      <w:r>
        <w:t>Uvodi se redoviti sustav opominjanja po osnovi prihoda koje određeni dužnik ima prema Školi. Tijekom narednih trideset (30) dana Računovodstvo nadzire naplatu prihoda po opomenama.</w:t>
      </w:r>
    </w:p>
    <w:p w:rsidR="00683EBD" w:rsidRDefault="00683EBD">
      <w:pPr>
        <w:pStyle w:val="Tijeloteksta"/>
        <w:spacing w:before="2"/>
      </w:pPr>
    </w:p>
    <w:p w:rsidR="00683EBD" w:rsidRDefault="000A44F3">
      <w:pPr>
        <w:pStyle w:val="Naslov1"/>
      </w:pPr>
      <w:r>
        <w:t>Članak 4.</w:t>
      </w:r>
    </w:p>
    <w:p w:rsidR="00683EBD" w:rsidRDefault="000A44F3">
      <w:pPr>
        <w:pStyle w:val="Tijeloteksta"/>
        <w:ind w:left="116" w:firstLine="707"/>
      </w:pPr>
      <w:r>
        <w:t>Nakon što u roku od trideset (30) dana nije naplaćen dug za koji je poslana opomena, računovodstvo o tome obavještava ravnatelja koji donosi Odluku o prisilnoj naplati potraživanja, te se pokreće ovršni postupak kod javnog bilježnika.</w:t>
      </w:r>
    </w:p>
    <w:p w:rsidR="00683EBD" w:rsidRDefault="000A44F3">
      <w:pPr>
        <w:pStyle w:val="Tijeloteksta"/>
        <w:ind w:left="116" w:firstLine="707"/>
      </w:pPr>
      <w:r>
        <w:t xml:space="preserve">Ovršni postupak se pokreće za dugovanja u visini većoj od </w:t>
      </w:r>
      <w:r w:rsidRPr="00A83822">
        <w:rPr>
          <w:color w:val="FF0000"/>
        </w:rPr>
        <w:t>300,00 kn</w:t>
      </w:r>
      <w:r>
        <w:t xml:space="preserve"> po jednom dužniku. Procedura iz stavka 1. izvodi se po sljedećem postupku:</w:t>
      </w:r>
    </w:p>
    <w:p w:rsidR="00683EBD" w:rsidRDefault="00683EBD">
      <w:pPr>
        <w:pStyle w:val="Tijeloteksta"/>
        <w:spacing w:before="6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442"/>
        <w:gridCol w:w="2683"/>
        <w:gridCol w:w="3312"/>
        <w:gridCol w:w="2597"/>
      </w:tblGrid>
      <w:tr w:rsidR="00683EBD">
        <w:trPr>
          <w:trHeight w:val="551"/>
        </w:trPr>
        <w:tc>
          <w:tcPr>
            <w:tcW w:w="960" w:type="dxa"/>
            <w:shd w:val="clear" w:color="auto" w:fill="D8D8D8"/>
          </w:tcPr>
          <w:p w:rsidR="00683EBD" w:rsidRDefault="000A44F3">
            <w:pPr>
              <w:pStyle w:val="TableParagraph"/>
              <w:spacing w:line="276" w:lineRule="exact"/>
              <w:ind w:left="261" w:right="142" w:hanging="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Redni broj</w:t>
            </w:r>
          </w:p>
        </w:tc>
        <w:tc>
          <w:tcPr>
            <w:tcW w:w="4442" w:type="dxa"/>
            <w:shd w:val="clear" w:color="auto" w:fill="D8D8D8"/>
          </w:tcPr>
          <w:p w:rsidR="00683EBD" w:rsidRDefault="000A44F3">
            <w:pPr>
              <w:pStyle w:val="TableParagraph"/>
              <w:spacing w:before="135"/>
              <w:ind w:left="1480" w:right="1470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</w:tc>
        <w:tc>
          <w:tcPr>
            <w:tcW w:w="2683" w:type="dxa"/>
            <w:shd w:val="clear" w:color="auto" w:fill="D8D8D8"/>
          </w:tcPr>
          <w:p w:rsidR="00683EBD" w:rsidRDefault="000A44F3">
            <w:pPr>
              <w:pStyle w:val="TableParagraph"/>
              <w:spacing w:before="135"/>
              <w:ind w:left="86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NADLEŽNOST</w:t>
            </w:r>
          </w:p>
        </w:tc>
        <w:tc>
          <w:tcPr>
            <w:tcW w:w="3312" w:type="dxa"/>
            <w:shd w:val="clear" w:color="auto" w:fill="D8D8D8"/>
          </w:tcPr>
          <w:p w:rsidR="00683EBD" w:rsidRDefault="000A44F3">
            <w:pPr>
              <w:pStyle w:val="TableParagraph"/>
              <w:spacing w:before="135"/>
              <w:ind w:left="165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DOKUMENT</w:t>
            </w:r>
          </w:p>
        </w:tc>
        <w:tc>
          <w:tcPr>
            <w:tcW w:w="2597" w:type="dxa"/>
            <w:shd w:val="clear" w:color="auto" w:fill="D8D8D8"/>
          </w:tcPr>
          <w:p w:rsidR="00683EBD" w:rsidRDefault="000A44F3">
            <w:pPr>
              <w:pStyle w:val="TableParagraph"/>
              <w:spacing w:before="135"/>
              <w:ind w:left="1007" w:right="993"/>
              <w:rPr>
                <w:b/>
                <w:sz w:val="24"/>
              </w:rPr>
            </w:pPr>
            <w:r>
              <w:rPr>
                <w:b/>
                <w:sz w:val="24"/>
              </w:rPr>
              <w:t>ROK</w:t>
            </w:r>
          </w:p>
        </w:tc>
      </w:tr>
      <w:tr w:rsidR="00683EBD">
        <w:trPr>
          <w:trHeight w:val="830"/>
        </w:trPr>
        <w:tc>
          <w:tcPr>
            <w:tcW w:w="960" w:type="dxa"/>
          </w:tcPr>
          <w:p w:rsidR="00683EBD" w:rsidRDefault="00683EBD">
            <w:pPr>
              <w:pStyle w:val="TableParagraph"/>
              <w:spacing w:before="5"/>
              <w:ind w:left="0"/>
              <w:jc w:val="left"/>
              <w:rPr>
                <w:sz w:val="23"/>
              </w:rPr>
            </w:pPr>
          </w:p>
          <w:p w:rsidR="00683EBD" w:rsidRDefault="000A44F3">
            <w:pPr>
              <w:pStyle w:val="TableParagraph"/>
              <w:ind w:left="370" w:right="35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42" w:type="dxa"/>
          </w:tcPr>
          <w:p w:rsidR="00683EBD" w:rsidRDefault="000A44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Utvrđivanje knjigovodstvenog stanja</w:t>
            </w:r>
          </w:p>
          <w:p w:rsidR="00683EBD" w:rsidRDefault="000A44F3">
            <w:pPr>
              <w:pStyle w:val="TableParagraph"/>
              <w:spacing w:line="270" w:lineRule="atLeast"/>
              <w:ind w:left="107" w:right="85"/>
              <w:jc w:val="left"/>
              <w:rPr>
                <w:sz w:val="24"/>
              </w:rPr>
            </w:pPr>
            <w:r>
              <w:rPr>
                <w:sz w:val="24"/>
              </w:rPr>
              <w:t>dužnika/prikupljanje podataka o poslovnom računu ili imovinskom stanju</w:t>
            </w:r>
          </w:p>
        </w:tc>
        <w:tc>
          <w:tcPr>
            <w:tcW w:w="2683" w:type="dxa"/>
          </w:tcPr>
          <w:p w:rsidR="00683EBD" w:rsidRDefault="00683EBD">
            <w:pPr>
              <w:pStyle w:val="TableParagraph"/>
              <w:spacing w:before="5"/>
              <w:ind w:left="0"/>
              <w:jc w:val="left"/>
              <w:rPr>
                <w:sz w:val="23"/>
              </w:rPr>
            </w:pPr>
          </w:p>
          <w:p w:rsidR="00683EBD" w:rsidRDefault="000A44F3">
            <w:pPr>
              <w:pStyle w:val="TableParagraph"/>
              <w:ind w:left="90" w:right="75"/>
              <w:rPr>
                <w:sz w:val="24"/>
              </w:rPr>
            </w:pPr>
            <w:r>
              <w:rPr>
                <w:sz w:val="24"/>
              </w:rPr>
              <w:t>Računovodstvo</w:t>
            </w:r>
          </w:p>
        </w:tc>
        <w:tc>
          <w:tcPr>
            <w:tcW w:w="3312" w:type="dxa"/>
          </w:tcPr>
          <w:p w:rsidR="00683EBD" w:rsidRDefault="00683EBD">
            <w:pPr>
              <w:pStyle w:val="TableParagraph"/>
              <w:spacing w:before="5"/>
              <w:ind w:left="0"/>
              <w:jc w:val="left"/>
              <w:rPr>
                <w:sz w:val="23"/>
              </w:rPr>
            </w:pPr>
          </w:p>
          <w:p w:rsidR="00683EBD" w:rsidRDefault="000A44F3">
            <w:pPr>
              <w:pStyle w:val="TableParagraph"/>
              <w:ind w:left="167" w:right="152"/>
              <w:rPr>
                <w:sz w:val="24"/>
              </w:rPr>
            </w:pPr>
            <w:r>
              <w:rPr>
                <w:sz w:val="24"/>
              </w:rPr>
              <w:t>Knjigovodstvene kartice</w:t>
            </w:r>
          </w:p>
        </w:tc>
        <w:tc>
          <w:tcPr>
            <w:tcW w:w="2597" w:type="dxa"/>
          </w:tcPr>
          <w:p w:rsidR="00683EBD" w:rsidRDefault="000A44F3">
            <w:pPr>
              <w:pStyle w:val="TableParagraph"/>
              <w:spacing w:before="130"/>
              <w:ind w:left="708" w:right="672" w:firstLine="2"/>
              <w:jc w:val="left"/>
              <w:rPr>
                <w:sz w:val="24"/>
              </w:rPr>
            </w:pPr>
            <w:r>
              <w:rPr>
                <w:sz w:val="24"/>
              </w:rPr>
              <w:t>Prije zastare potraživanja</w:t>
            </w:r>
          </w:p>
        </w:tc>
      </w:tr>
      <w:tr w:rsidR="00683EBD">
        <w:trPr>
          <w:trHeight w:val="827"/>
        </w:trPr>
        <w:tc>
          <w:tcPr>
            <w:tcW w:w="960" w:type="dxa"/>
          </w:tcPr>
          <w:p w:rsidR="00683EBD" w:rsidRDefault="00683EBD">
            <w:pPr>
              <w:pStyle w:val="TableParagraph"/>
              <w:spacing w:before="5"/>
              <w:ind w:left="0"/>
              <w:jc w:val="left"/>
              <w:rPr>
                <w:sz w:val="23"/>
              </w:rPr>
            </w:pPr>
          </w:p>
          <w:p w:rsidR="00683EBD" w:rsidRDefault="000A44F3">
            <w:pPr>
              <w:pStyle w:val="TableParagraph"/>
              <w:ind w:left="370" w:right="35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42" w:type="dxa"/>
          </w:tcPr>
          <w:p w:rsidR="00683EBD" w:rsidRDefault="000A44F3">
            <w:pPr>
              <w:pStyle w:val="TableParagraph"/>
              <w:spacing w:before="131"/>
              <w:ind w:left="107" w:right="1385"/>
              <w:jc w:val="left"/>
              <w:rPr>
                <w:sz w:val="24"/>
              </w:rPr>
            </w:pPr>
            <w:r>
              <w:rPr>
                <w:sz w:val="24"/>
              </w:rPr>
              <w:t>Prikupljanje dokumentacije za ovršni postupak</w:t>
            </w:r>
          </w:p>
        </w:tc>
        <w:tc>
          <w:tcPr>
            <w:tcW w:w="2683" w:type="dxa"/>
          </w:tcPr>
          <w:p w:rsidR="00683EBD" w:rsidRDefault="000A44F3">
            <w:pPr>
              <w:pStyle w:val="TableParagraph"/>
              <w:spacing w:before="131"/>
              <w:ind w:left="89" w:right="75"/>
              <w:rPr>
                <w:sz w:val="24"/>
              </w:rPr>
            </w:pPr>
            <w:r>
              <w:rPr>
                <w:sz w:val="24"/>
              </w:rPr>
              <w:t>Računovodstvo/Tajništvo</w:t>
            </w:r>
          </w:p>
        </w:tc>
        <w:tc>
          <w:tcPr>
            <w:tcW w:w="3312" w:type="dxa"/>
          </w:tcPr>
          <w:p w:rsidR="00683EBD" w:rsidRDefault="000A44F3">
            <w:pPr>
              <w:pStyle w:val="TableParagraph"/>
              <w:spacing w:line="270" w:lineRule="exact"/>
              <w:ind w:left="165" w:right="154"/>
              <w:rPr>
                <w:sz w:val="24"/>
              </w:rPr>
            </w:pPr>
            <w:r>
              <w:rPr>
                <w:sz w:val="24"/>
              </w:rPr>
              <w:t>Knjigovodstvena kartica ili</w:t>
            </w:r>
          </w:p>
          <w:p w:rsidR="00683EBD" w:rsidRDefault="000A44F3">
            <w:pPr>
              <w:pStyle w:val="TableParagraph"/>
              <w:spacing w:line="270" w:lineRule="atLeast"/>
              <w:ind w:left="125" w:right="107" w:hanging="1"/>
              <w:rPr>
                <w:sz w:val="24"/>
              </w:rPr>
            </w:pPr>
            <w:r>
              <w:rPr>
                <w:sz w:val="24"/>
              </w:rPr>
              <w:t>računi/ obračun kamata/opomena s povratnicom</w:t>
            </w:r>
          </w:p>
        </w:tc>
        <w:tc>
          <w:tcPr>
            <w:tcW w:w="2597" w:type="dxa"/>
          </w:tcPr>
          <w:p w:rsidR="00683EBD" w:rsidRDefault="000A44F3">
            <w:pPr>
              <w:pStyle w:val="TableParagraph"/>
              <w:spacing w:before="131"/>
              <w:ind w:left="708" w:right="672" w:firstLine="2"/>
              <w:jc w:val="left"/>
              <w:rPr>
                <w:sz w:val="24"/>
              </w:rPr>
            </w:pPr>
            <w:r>
              <w:rPr>
                <w:sz w:val="24"/>
              </w:rPr>
              <w:t>Prije zastare potraživanja</w:t>
            </w:r>
          </w:p>
        </w:tc>
      </w:tr>
      <w:tr w:rsidR="00683EBD">
        <w:trPr>
          <w:trHeight w:val="830"/>
        </w:trPr>
        <w:tc>
          <w:tcPr>
            <w:tcW w:w="960" w:type="dxa"/>
          </w:tcPr>
          <w:p w:rsidR="00683EBD" w:rsidRDefault="00683EBD">
            <w:pPr>
              <w:pStyle w:val="TableParagraph"/>
              <w:spacing w:before="5"/>
              <w:ind w:left="0"/>
              <w:jc w:val="left"/>
              <w:rPr>
                <w:sz w:val="23"/>
              </w:rPr>
            </w:pPr>
          </w:p>
          <w:p w:rsidR="00683EBD" w:rsidRDefault="000A44F3">
            <w:pPr>
              <w:pStyle w:val="TableParagraph"/>
              <w:ind w:left="370" w:right="35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42" w:type="dxa"/>
          </w:tcPr>
          <w:p w:rsidR="00683EBD" w:rsidRDefault="00683EBD">
            <w:pPr>
              <w:pStyle w:val="TableParagraph"/>
              <w:spacing w:before="5"/>
              <w:ind w:left="0"/>
              <w:jc w:val="left"/>
              <w:rPr>
                <w:sz w:val="23"/>
              </w:rPr>
            </w:pPr>
          </w:p>
          <w:p w:rsidR="00683EBD" w:rsidRDefault="000A44F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Izrada prijedloga za ovrhu</w:t>
            </w:r>
          </w:p>
        </w:tc>
        <w:tc>
          <w:tcPr>
            <w:tcW w:w="2683" w:type="dxa"/>
          </w:tcPr>
          <w:p w:rsidR="00683EBD" w:rsidRDefault="00683EBD">
            <w:pPr>
              <w:pStyle w:val="TableParagraph"/>
              <w:spacing w:before="5"/>
              <w:ind w:left="0"/>
              <w:jc w:val="left"/>
              <w:rPr>
                <w:sz w:val="23"/>
              </w:rPr>
            </w:pPr>
          </w:p>
          <w:p w:rsidR="00683EBD" w:rsidRDefault="000A44F3">
            <w:pPr>
              <w:pStyle w:val="TableParagraph"/>
              <w:ind w:left="90" w:right="75"/>
              <w:rPr>
                <w:sz w:val="24"/>
              </w:rPr>
            </w:pPr>
            <w:r>
              <w:rPr>
                <w:sz w:val="24"/>
              </w:rPr>
              <w:t>Računovodstvo/Tajništvo</w:t>
            </w:r>
          </w:p>
        </w:tc>
        <w:tc>
          <w:tcPr>
            <w:tcW w:w="3312" w:type="dxa"/>
          </w:tcPr>
          <w:p w:rsidR="00683EBD" w:rsidRDefault="000A44F3">
            <w:pPr>
              <w:pStyle w:val="TableParagraph"/>
              <w:ind w:left="326" w:right="311" w:hanging="1"/>
              <w:rPr>
                <w:sz w:val="24"/>
              </w:rPr>
            </w:pPr>
            <w:r>
              <w:rPr>
                <w:sz w:val="24"/>
              </w:rPr>
              <w:t>Nacrt prijedloga za ovrhu Općinskom sudu ili javnom</w:t>
            </w:r>
          </w:p>
          <w:p w:rsidR="00683EBD" w:rsidRDefault="000A44F3">
            <w:pPr>
              <w:pStyle w:val="TableParagraph"/>
              <w:spacing w:line="264" w:lineRule="exact"/>
              <w:ind w:left="167" w:right="149"/>
              <w:rPr>
                <w:sz w:val="24"/>
              </w:rPr>
            </w:pPr>
            <w:r>
              <w:rPr>
                <w:sz w:val="24"/>
              </w:rPr>
              <w:t>bilježniku</w:t>
            </w:r>
          </w:p>
        </w:tc>
        <w:tc>
          <w:tcPr>
            <w:tcW w:w="2597" w:type="dxa"/>
          </w:tcPr>
          <w:p w:rsidR="00683EBD" w:rsidRDefault="000A44F3">
            <w:pPr>
              <w:pStyle w:val="TableParagraph"/>
              <w:spacing w:before="131"/>
              <w:ind w:left="180" w:right="123" w:hanging="22"/>
              <w:jc w:val="left"/>
              <w:rPr>
                <w:sz w:val="24"/>
              </w:rPr>
            </w:pPr>
            <w:r>
              <w:rPr>
                <w:sz w:val="24"/>
              </w:rPr>
              <w:t>Najkasnije dva (2) dana od pokretanja postupka</w:t>
            </w:r>
          </w:p>
        </w:tc>
      </w:tr>
    </w:tbl>
    <w:p w:rsidR="00683EBD" w:rsidRDefault="00683EBD">
      <w:pPr>
        <w:rPr>
          <w:sz w:val="24"/>
        </w:rPr>
        <w:sectPr w:rsidR="00683EBD">
          <w:pgSz w:w="16840" w:h="11910" w:orient="landscape"/>
          <w:pgMar w:top="1100" w:right="1300" w:bottom="1200" w:left="1300" w:header="0" w:footer="1005" w:gutter="0"/>
          <w:cols w:space="720"/>
        </w:sectPr>
      </w:pPr>
    </w:p>
    <w:p w:rsidR="00683EBD" w:rsidRDefault="00683EBD">
      <w:pPr>
        <w:pStyle w:val="Tijeloteksta"/>
        <w:spacing w:before="10"/>
        <w:rPr>
          <w:sz w:val="2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442"/>
        <w:gridCol w:w="2683"/>
        <w:gridCol w:w="3312"/>
        <w:gridCol w:w="2597"/>
      </w:tblGrid>
      <w:tr w:rsidR="00683EBD">
        <w:trPr>
          <w:trHeight w:val="553"/>
        </w:trPr>
        <w:tc>
          <w:tcPr>
            <w:tcW w:w="960" w:type="dxa"/>
          </w:tcPr>
          <w:p w:rsidR="00683EBD" w:rsidRDefault="000A44F3">
            <w:pPr>
              <w:pStyle w:val="TableParagraph"/>
              <w:spacing w:before="131"/>
              <w:ind w:left="370" w:right="35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42" w:type="dxa"/>
          </w:tcPr>
          <w:p w:rsidR="00683EBD" w:rsidRDefault="000A44F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Ovjera i potpis</w:t>
            </w:r>
          </w:p>
          <w:p w:rsidR="00683EBD" w:rsidRDefault="000A44F3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prijedloga za ovrhu</w:t>
            </w:r>
          </w:p>
        </w:tc>
        <w:tc>
          <w:tcPr>
            <w:tcW w:w="2683" w:type="dxa"/>
          </w:tcPr>
          <w:p w:rsidR="00683EBD" w:rsidRDefault="000A44F3">
            <w:pPr>
              <w:pStyle w:val="TableParagraph"/>
              <w:spacing w:before="131"/>
              <w:ind w:left="86" w:right="75"/>
              <w:rPr>
                <w:sz w:val="24"/>
              </w:rPr>
            </w:pPr>
            <w:r>
              <w:rPr>
                <w:sz w:val="24"/>
              </w:rPr>
              <w:t>Ravnatelj</w:t>
            </w:r>
          </w:p>
        </w:tc>
        <w:tc>
          <w:tcPr>
            <w:tcW w:w="3312" w:type="dxa"/>
          </w:tcPr>
          <w:p w:rsidR="00683EBD" w:rsidRDefault="000A44F3">
            <w:pPr>
              <w:pStyle w:val="TableParagraph"/>
              <w:spacing w:line="270" w:lineRule="exact"/>
              <w:ind w:left="167" w:right="154"/>
              <w:rPr>
                <w:sz w:val="24"/>
              </w:rPr>
            </w:pPr>
            <w:r>
              <w:rPr>
                <w:sz w:val="24"/>
              </w:rPr>
              <w:t>Prijedlog za ovrhu Općinskom</w:t>
            </w:r>
          </w:p>
          <w:p w:rsidR="00683EBD" w:rsidRDefault="000A44F3">
            <w:pPr>
              <w:pStyle w:val="TableParagraph"/>
              <w:spacing w:line="264" w:lineRule="exact"/>
              <w:ind w:left="166" w:right="154"/>
              <w:rPr>
                <w:sz w:val="24"/>
              </w:rPr>
            </w:pPr>
            <w:r>
              <w:rPr>
                <w:sz w:val="24"/>
              </w:rPr>
              <w:t>sudu ili javnom bilježniku</w:t>
            </w:r>
          </w:p>
        </w:tc>
        <w:tc>
          <w:tcPr>
            <w:tcW w:w="2597" w:type="dxa"/>
          </w:tcPr>
          <w:p w:rsidR="00683EBD" w:rsidRDefault="000A44F3">
            <w:pPr>
              <w:pStyle w:val="TableParagraph"/>
              <w:spacing w:line="270" w:lineRule="exact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Najkasnije dva (2)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dana</w:t>
            </w:r>
          </w:p>
          <w:p w:rsidR="00683EBD" w:rsidRDefault="000A44F3">
            <w:pPr>
              <w:pStyle w:val="TableParagraph"/>
              <w:spacing w:line="264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od pokretanja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postupka</w:t>
            </w:r>
          </w:p>
        </w:tc>
      </w:tr>
      <w:tr w:rsidR="00683EBD">
        <w:trPr>
          <w:trHeight w:val="568"/>
        </w:trPr>
        <w:tc>
          <w:tcPr>
            <w:tcW w:w="960" w:type="dxa"/>
          </w:tcPr>
          <w:p w:rsidR="00683EBD" w:rsidRDefault="000A44F3">
            <w:pPr>
              <w:pStyle w:val="TableParagraph"/>
              <w:spacing w:before="138"/>
              <w:ind w:left="370" w:right="35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42" w:type="dxa"/>
          </w:tcPr>
          <w:p w:rsidR="00683EBD" w:rsidRDefault="000A44F3">
            <w:pPr>
              <w:pStyle w:val="TableParagraph"/>
              <w:spacing w:before="2" w:line="276" w:lineRule="exact"/>
              <w:ind w:left="107" w:right="425"/>
              <w:jc w:val="left"/>
              <w:rPr>
                <w:sz w:val="24"/>
              </w:rPr>
            </w:pPr>
            <w:r>
              <w:rPr>
                <w:sz w:val="24"/>
              </w:rPr>
              <w:t>Dostava prijedloga za ovrhu Općinskom sudu ili javnom bilježniku</w:t>
            </w:r>
          </w:p>
        </w:tc>
        <w:tc>
          <w:tcPr>
            <w:tcW w:w="2683" w:type="dxa"/>
          </w:tcPr>
          <w:p w:rsidR="00683EBD" w:rsidRDefault="000A44F3">
            <w:pPr>
              <w:pStyle w:val="TableParagraph"/>
              <w:spacing w:before="138"/>
              <w:ind w:left="89" w:right="75"/>
              <w:rPr>
                <w:sz w:val="24"/>
              </w:rPr>
            </w:pPr>
            <w:r>
              <w:rPr>
                <w:sz w:val="24"/>
              </w:rPr>
              <w:t>Tajništvo</w:t>
            </w:r>
          </w:p>
        </w:tc>
        <w:tc>
          <w:tcPr>
            <w:tcW w:w="3312" w:type="dxa"/>
          </w:tcPr>
          <w:p w:rsidR="00683EBD" w:rsidRDefault="000A44F3">
            <w:pPr>
              <w:pStyle w:val="TableParagraph"/>
              <w:spacing w:before="138"/>
              <w:ind w:left="167" w:right="153"/>
              <w:rPr>
                <w:sz w:val="24"/>
              </w:rPr>
            </w:pPr>
            <w:r>
              <w:rPr>
                <w:sz w:val="24"/>
              </w:rPr>
              <w:t>Knjiga izlazne pošte</w:t>
            </w:r>
          </w:p>
        </w:tc>
        <w:tc>
          <w:tcPr>
            <w:tcW w:w="2597" w:type="dxa"/>
          </w:tcPr>
          <w:p w:rsidR="00683EBD" w:rsidRDefault="000A44F3">
            <w:pPr>
              <w:pStyle w:val="TableParagraph"/>
              <w:spacing w:before="2" w:line="276" w:lineRule="exact"/>
              <w:ind w:left="341" w:right="123" w:hanging="183"/>
              <w:jc w:val="left"/>
              <w:rPr>
                <w:sz w:val="24"/>
              </w:rPr>
            </w:pPr>
            <w:r>
              <w:rPr>
                <w:sz w:val="24"/>
              </w:rPr>
              <w:t>Najkasnije dva (2) dana od izrade prijedloga</w:t>
            </w:r>
          </w:p>
        </w:tc>
      </w:tr>
      <w:tr w:rsidR="00683EBD">
        <w:trPr>
          <w:trHeight w:val="830"/>
        </w:trPr>
        <w:tc>
          <w:tcPr>
            <w:tcW w:w="960" w:type="dxa"/>
          </w:tcPr>
          <w:p w:rsidR="00683EBD" w:rsidRDefault="00683EBD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683EBD" w:rsidRDefault="000A44F3">
            <w:pPr>
              <w:pStyle w:val="TableParagraph"/>
              <w:ind w:left="370" w:right="35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42" w:type="dxa"/>
          </w:tcPr>
          <w:p w:rsidR="00683EBD" w:rsidRDefault="00683EBD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683EBD" w:rsidRDefault="000A44F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Dostava pravomoćnih rješenja o ovrsi FINI</w:t>
            </w:r>
          </w:p>
        </w:tc>
        <w:tc>
          <w:tcPr>
            <w:tcW w:w="2683" w:type="dxa"/>
          </w:tcPr>
          <w:p w:rsidR="00683EBD" w:rsidRDefault="00683EBD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683EBD" w:rsidRDefault="000A44F3">
            <w:pPr>
              <w:pStyle w:val="TableParagraph"/>
              <w:ind w:left="90" w:right="75"/>
              <w:rPr>
                <w:sz w:val="24"/>
              </w:rPr>
            </w:pPr>
            <w:r>
              <w:rPr>
                <w:sz w:val="24"/>
              </w:rPr>
              <w:t>Računovodstvo</w:t>
            </w:r>
          </w:p>
        </w:tc>
        <w:tc>
          <w:tcPr>
            <w:tcW w:w="3312" w:type="dxa"/>
          </w:tcPr>
          <w:p w:rsidR="00683EBD" w:rsidRDefault="00683EBD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683EBD" w:rsidRDefault="000A44F3">
            <w:pPr>
              <w:pStyle w:val="TableParagraph"/>
              <w:ind w:left="166" w:right="154"/>
              <w:rPr>
                <w:sz w:val="24"/>
              </w:rPr>
            </w:pPr>
            <w:r>
              <w:rPr>
                <w:sz w:val="24"/>
              </w:rPr>
              <w:t>Pravomoćno rješenje</w:t>
            </w:r>
          </w:p>
        </w:tc>
        <w:tc>
          <w:tcPr>
            <w:tcW w:w="2597" w:type="dxa"/>
          </w:tcPr>
          <w:p w:rsidR="00683EBD" w:rsidRDefault="000A44F3">
            <w:pPr>
              <w:pStyle w:val="TableParagraph"/>
              <w:ind w:left="744" w:right="123" w:hanging="586"/>
              <w:jc w:val="left"/>
              <w:rPr>
                <w:sz w:val="24"/>
              </w:rPr>
            </w:pPr>
            <w:r>
              <w:rPr>
                <w:sz w:val="24"/>
              </w:rPr>
              <w:t>Najkasnije dva (2) dana od primitka</w:t>
            </w:r>
          </w:p>
          <w:p w:rsidR="00683EBD" w:rsidRDefault="000A44F3">
            <w:pPr>
              <w:pStyle w:val="TableParagraph"/>
              <w:spacing w:line="266" w:lineRule="exact"/>
              <w:ind w:left="264"/>
              <w:jc w:val="left"/>
              <w:rPr>
                <w:sz w:val="24"/>
              </w:rPr>
            </w:pPr>
            <w:r>
              <w:rPr>
                <w:sz w:val="24"/>
              </w:rPr>
              <w:t>pravomoćnih rješenja</w:t>
            </w:r>
          </w:p>
        </w:tc>
      </w:tr>
    </w:tbl>
    <w:p w:rsidR="00683EBD" w:rsidRDefault="00683EBD">
      <w:pPr>
        <w:pStyle w:val="Tijeloteksta"/>
        <w:spacing w:before="10"/>
        <w:rPr>
          <w:sz w:val="15"/>
        </w:rPr>
      </w:pPr>
    </w:p>
    <w:p w:rsidR="00683EBD" w:rsidRDefault="00683EBD">
      <w:pPr>
        <w:pStyle w:val="Tijeloteksta"/>
      </w:pPr>
    </w:p>
    <w:p w:rsidR="00683EBD" w:rsidRDefault="00A83822">
      <w:pPr>
        <w:pStyle w:val="Naslov1"/>
      </w:pPr>
      <w:r>
        <w:t>Članak 5</w:t>
      </w:r>
      <w:r w:rsidR="000A44F3">
        <w:t>.</w:t>
      </w:r>
    </w:p>
    <w:p w:rsidR="00683EBD" w:rsidRDefault="000A44F3">
      <w:pPr>
        <w:pStyle w:val="Tijeloteksta"/>
        <w:spacing w:line="274" w:lineRule="exact"/>
        <w:ind w:left="116" w:right="2160"/>
        <w:jc w:val="center"/>
      </w:pPr>
      <w:r>
        <w:t>Ova Procedura stupa na snagu danom donošenja i objavit će se na oglasnoj ploči i mrežnim stranicama Škole.</w:t>
      </w:r>
    </w:p>
    <w:p w:rsidR="00683EBD" w:rsidRDefault="00683EBD">
      <w:pPr>
        <w:pStyle w:val="Tijeloteksta"/>
        <w:rPr>
          <w:sz w:val="20"/>
        </w:rPr>
      </w:pPr>
    </w:p>
    <w:p w:rsidR="00683EBD" w:rsidRDefault="00683EBD">
      <w:pPr>
        <w:pStyle w:val="Tijeloteksta"/>
        <w:rPr>
          <w:sz w:val="20"/>
        </w:rPr>
      </w:pPr>
    </w:p>
    <w:p w:rsidR="00683EBD" w:rsidRPr="00A83822" w:rsidRDefault="00A83822" w:rsidP="00A83822">
      <w:pPr>
        <w:pStyle w:val="Tijeloteksta"/>
        <w:jc w:val="right"/>
      </w:pPr>
      <w:r w:rsidRPr="00A83822">
        <w:t>Ravnateljica:</w:t>
      </w:r>
    </w:p>
    <w:p w:rsidR="00A83822" w:rsidRPr="00A83822" w:rsidRDefault="00A83822" w:rsidP="00A83822">
      <w:pPr>
        <w:pStyle w:val="Tijeloteksta"/>
        <w:jc w:val="right"/>
      </w:pPr>
    </w:p>
    <w:p w:rsidR="00A83822" w:rsidRPr="00A83822" w:rsidRDefault="00A83822" w:rsidP="00A83822">
      <w:pPr>
        <w:pStyle w:val="Tijeloteksta"/>
        <w:jc w:val="right"/>
      </w:pPr>
      <w:r w:rsidRPr="00A83822">
        <w:t>Lareta Žubrinić, prof.</w:t>
      </w:r>
    </w:p>
    <w:p w:rsidR="00683EBD" w:rsidRDefault="00683EBD">
      <w:pPr>
        <w:pStyle w:val="Tijeloteksta"/>
        <w:rPr>
          <w:sz w:val="20"/>
        </w:rPr>
      </w:pPr>
    </w:p>
    <w:p w:rsidR="00683EBD" w:rsidRDefault="00683EBD">
      <w:pPr>
        <w:pStyle w:val="Tijeloteksta"/>
        <w:spacing w:before="8"/>
        <w:rPr>
          <w:sz w:val="29"/>
        </w:rPr>
      </w:pPr>
    </w:p>
    <w:sectPr w:rsidR="00683EBD">
      <w:pgSz w:w="16840" w:h="11910" w:orient="landscape"/>
      <w:pgMar w:top="1100" w:right="1300" w:bottom="1200" w:left="130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B79" w:rsidRDefault="00DF2B79">
      <w:r>
        <w:separator/>
      </w:r>
    </w:p>
  </w:endnote>
  <w:endnote w:type="continuationSeparator" w:id="0">
    <w:p w:rsidR="00DF2B79" w:rsidRDefault="00DF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EBD" w:rsidRDefault="00DF2B79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6.1pt;margin-top:534.1pt;width:9.6pt;height:13.05pt;z-index:-251658752;mso-position-horizontal-relative:page;mso-position-vertical-relative:page" filled="f" stroked="f">
          <v:textbox inset="0,0,0,0">
            <w:txbxContent>
              <w:p w:rsidR="00683EBD" w:rsidRDefault="000A44F3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F130C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B79" w:rsidRDefault="00DF2B79">
      <w:r>
        <w:separator/>
      </w:r>
    </w:p>
  </w:footnote>
  <w:footnote w:type="continuationSeparator" w:id="0">
    <w:p w:rsidR="00DF2B79" w:rsidRDefault="00DF2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83EBD"/>
    <w:rsid w:val="000A44F3"/>
    <w:rsid w:val="003F7317"/>
    <w:rsid w:val="005F130C"/>
    <w:rsid w:val="00683EBD"/>
    <w:rsid w:val="00A1205B"/>
    <w:rsid w:val="00A83822"/>
    <w:rsid w:val="00DF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32A672D-46F5-417F-8838-2661749B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paragraph" w:styleId="Naslov1">
    <w:name w:val="heading 1"/>
    <w:basedOn w:val="Normal"/>
    <w:uiPriority w:val="1"/>
    <w:qFormat/>
    <w:pPr>
      <w:spacing w:line="274" w:lineRule="exact"/>
      <w:ind w:left="6636"/>
      <w:outlineLvl w:val="0"/>
    </w:pPr>
    <w:rPr>
      <w:b/>
      <w:bCs/>
      <w:i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- 3. Procedura naplate prihoda, 2019.</dc:title>
  <dc:creator>Rac00</dc:creator>
  <cp:lastModifiedBy>Microsoftov račun</cp:lastModifiedBy>
  <cp:revision>6</cp:revision>
  <dcterms:created xsi:type="dcterms:W3CDTF">2020-10-01T09:18:00Z</dcterms:created>
  <dcterms:modified xsi:type="dcterms:W3CDTF">2020-10-23T10:39:00Z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LastSaved">
    <vt:filetime>2020-10-01T00:00:00Z</vt:filetime>
  </property>
</Properties>
</file>